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43E5A370">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6" tooltip="&quot;Home&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77777777" w:rsidR="009477EC" w:rsidRDefault="009477EC"/>
          <w:p w14:paraId="63F02B39" w14:textId="28D76EDC" w:rsidR="009477EC" w:rsidRDefault="00F82FDD">
            <w:r>
              <w:t>BLTJR</w:t>
            </w:r>
          </w:p>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2A2702C8" w14:textId="77777777" w:rsidR="003828E0" w:rsidRDefault="003828E0" w:rsidP="003828E0">
            <w:pPr>
              <w:jc w:val="both"/>
              <w:rPr>
                <w:sz w:val="24"/>
                <w:szCs w:val="24"/>
              </w:rPr>
            </w:pPr>
          </w:p>
          <w:p w14:paraId="28012D82" w14:textId="26C96099" w:rsidR="005E4AC0" w:rsidRPr="005E4AC0" w:rsidRDefault="005E4AC0" w:rsidP="005E4AC0">
            <w:pPr>
              <w:jc w:val="both"/>
              <w:rPr>
                <w:sz w:val="24"/>
                <w:szCs w:val="24"/>
              </w:rPr>
            </w:pPr>
            <w:r>
              <w:rPr>
                <w:sz w:val="24"/>
                <w:szCs w:val="24"/>
              </w:rPr>
              <w:t>1)</w:t>
            </w:r>
            <w:r w:rsidRPr="005E4AC0">
              <w:rPr>
                <w:sz w:val="24"/>
                <w:szCs w:val="24"/>
              </w:rPr>
              <w:t>Katie Sherren Parent (BLT Sr) &amp; Chair of SAC</w:t>
            </w:r>
          </w:p>
          <w:p w14:paraId="503BA9DE" w14:textId="77777777" w:rsidR="005E4AC0" w:rsidRPr="005E4AC0" w:rsidRDefault="005E4AC0" w:rsidP="005E4AC0">
            <w:pPr>
              <w:jc w:val="both"/>
              <w:rPr>
                <w:sz w:val="24"/>
                <w:szCs w:val="24"/>
              </w:rPr>
            </w:pPr>
            <w:r w:rsidRPr="005E4AC0">
              <w:rPr>
                <w:sz w:val="24"/>
                <w:szCs w:val="24"/>
              </w:rPr>
              <w:t>2) Ms. Tracey Quinn Acting Principal (BLT Sr)</w:t>
            </w:r>
          </w:p>
          <w:p w14:paraId="1BF09B18" w14:textId="77777777" w:rsidR="005E4AC0" w:rsidRPr="005E4AC0" w:rsidRDefault="005E4AC0" w:rsidP="005E4AC0">
            <w:pPr>
              <w:jc w:val="both"/>
              <w:rPr>
                <w:sz w:val="24"/>
                <w:szCs w:val="24"/>
              </w:rPr>
            </w:pPr>
            <w:r w:rsidRPr="005E4AC0">
              <w:rPr>
                <w:sz w:val="24"/>
                <w:szCs w:val="24"/>
              </w:rPr>
              <w:t>3) Mr. Albert Williams Principal (BLT Jr)</w:t>
            </w:r>
          </w:p>
          <w:p w14:paraId="787A9B57" w14:textId="77777777" w:rsidR="005E4AC0" w:rsidRPr="005E4AC0" w:rsidRDefault="005E4AC0" w:rsidP="005E4AC0">
            <w:pPr>
              <w:jc w:val="both"/>
              <w:rPr>
                <w:sz w:val="24"/>
                <w:szCs w:val="24"/>
              </w:rPr>
            </w:pPr>
            <w:r w:rsidRPr="005E4AC0">
              <w:rPr>
                <w:sz w:val="24"/>
                <w:szCs w:val="24"/>
              </w:rPr>
              <w:t>4) Ms. Cali Huczel Vice Principal (BLT Jr)</w:t>
            </w:r>
          </w:p>
          <w:p w14:paraId="12A65E95" w14:textId="77777777" w:rsidR="005E4AC0" w:rsidRPr="005E4AC0" w:rsidRDefault="005E4AC0" w:rsidP="005E4AC0">
            <w:pPr>
              <w:jc w:val="both"/>
              <w:rPr>
                <w:sz w:val="24"/>
                <w:szCs w:val="24"/>
              </w:rPr>
            </w:pPr>
            <w:r w:rsidRPr="005E4AC0">
              <w:rPr>
                <w:sz w:val="24"/>
                <w:szCs w:val="24"/>
              </w:rPr>
              <w:t>5) Mrs. Sarah Doxtater English Teacher (BLT Sr)</w:t>
            </w:r>
          </w:p>
          <w:p w14:paraId="138724EA" w14:textId="77777777" w:rsidR="005E4AC0" w:rsidRPr="005E4AC0" w:rsidRDefault="005E4AC0" w:rsidP="005E4AC0">
            <w:pPr>
              <w:jc w:val="both"/>
              <w:rPr>
                <w:sz w:val="24"/>
                <w:szCs w:val="24"/>
              </w:rPr>
            </w:pPr>
            <w:r w:rsidRPr="005E4AC0">
              <w:rPr>
                <w:sz w:val="24"/>
                <w:szCs w:val="24"/>
              </w:rPr>
              <w:t xml:space="preserve">6) Sarah </w:t>
            </w:r>
            <w:proofErr w:type="spellStart"/>
            <w:r w:rsidRPr="005E4AC0">
              <w:rPr>
                <w:sz w:val="24"/>
                <w:szCs w:val="24"/>
              </w:rPr>
              <w:t>Warfard</w:t>
            </w:r>
            <w:proofErr w:type="spellEnd"/>
            <w:r w:rsidRPr="005E4AC0">
              <w:rPr>
                <w:sz w:val="24"/>
                <w:szCs w:val="24"/>
              </w:rPr>
              <w:t xml:space="preserve"> Parent (BLT Jr &amp; BLT Sr)</w:t>
            </w:r>
          </w:p>
          <w:p w14:paraId="429FF3FB" w14:textId="77777777" w:rsidR="005E4AC0" w:rsidRPr="005E4AC0" w:rsidRDefault="005E4AC0" w:rsidP="005E4AC0">
            <w:pPr>
              <w:jc w:val="both"/>
              <w:rPr>
                <w:sz w:val="24"/>
                <w:szCs w:val="24"/>
              </w:rPr>
            </w:pPr>
            <w:r w:rsidRPr="005E4AC0">
              <w:rPr>
                <w:sz w:val="24"/>
                <w:szCs w:val="24"/>
              </w:rPr>
              <w:t>7) Stephanie Brown Parent (BLT Sr)</w:t>
            </w:r>
          </w:p>
          <w:p w14:paraId="0D5FCF42" w14:textId="77777777" w:rsidR="005E4AC0" w:rsidRPr="005E4AC0" w:rsidRDefault="005E4AC0" w:rsidP="005E4AC0">
            <w:pPr>
              <w:jc w:val="both"/>
              <w:rPr>
                <w:sz w:val="24"/>
                <w:szCs w:val="24"/>
              </w:rPr>
            </w:pPr>
            <w:r w:rsidRPr="005E4AC0">
              <w:rPr>
                <w:sz w:val="24"/>
                <w:szCs w:val="24"/>
              </w:rPr>
              <w:t>8) Mrs. Terri Mount English Teacher (BLT Sr)</w:t>
            </w:r>
          </w:p>
          <w:p w14:paraId="370340AC" w14:textId="2F9EE01C" w:rsidR="009477EC" w:rsidRDefault="005E4AC0" w:rsidP="005E4AC0">
            <w:pPr>
              <w:jc w:val="both"/>
              <w:rPr>
                <w:sz w:val="24"/>
                <w:szCs w:val="24"/>
              </w:rPr>
            </w:pPr>
            <w:r w:rsidRPr="005E4AC0">
              <w:rPr>
                <w:sz w:val="24"/>
                <w:szCs w:val="24"/>
              </w:rPr>
              <w:t>9) Karri Lynn Davidson Parent (BLT Jr &amp; BLT Sr)</w:t>
            </w:r>
          </w:p>
          <w:p w14:paraId="621827A7" w14:textId="3C0C6E06" w:rsidR="005E4AC0" w:rsidRPr="005E4AC0" w:rsidRDefault="005E4AC0" w:rsidP="005E4AC0">
            <w:pPr>
              <w:jc w:val="both"/>
              <w:rPr>
                <w:sz w:val="24"/>
                <w:szCs w:val="24"/>
              </w:rPr>
            </w:pPr>
            <w:r>
              <w:rPr>
                <w:sz w:val="24"/>
                <w:szCs w:val="24"/>
              </w:rPr>
              <w:t>10)</w:t>
            </w:r>
            <w:r w:rsidRPr="005E4AC0">
              <w:rPr>
                <w:rFonts w:ascii="TimesNewRomanPSMT" w:hAnsi="TimesNewRomanPSMT" w:cs="TimesNewRomanPSMT"/>
                <w:sz w:val="24"/>
                <w:szCs w:val="24"/>
              </w:rPr>
              <w:t xml:space="preserve"> </w:t>
            </w:r>
            <w:r w:rsidRPr="005E4AC0">
              <w:rPr>
                <w:sz w:val="24"/>
                <w:szCs w:val="24"/>
              </w:rPr>
              <w:t>Ian Angus Community Member</w:t>
            </w:r>
          </w:p>
          <w:p w14:paraId="44E6E57A" w14:textId="20FFD7BD" w:rsidR="005E4AC0" w:rsidRDefault="005E4AC0" w:rsidP="005E4AC0">
            <w:pPr>
              <w:jc w:val="both"/>
              <w:rPr>
                <w:sz w:val="24"/>
                <w:szCs w:val="24"/>
              </w:rPr>
            </w:pPr>
            <w:r>
              <w:rPr>
                <w:sz w:val="24"/>
                <w:szCs w:val="24"/>
              </w:rPr>
              <w:t>11</w:t>
            </w:r>
            <w:r w:rsidRPr="005E4AC0">
              <w:rPr>
                <w:sz w:val="24"/>
                <w:szCs w:val="24"/>
              </w:rPr>
              <w:t>) Jill Baker Parent (BLT Jr)</w:t>
            </w:r>
          </w:p>
          <w:p w14:paraId="12D4E0C7" w14:textId="77777777" w:rsidR="009477EC" w:rsidRPr="003828E0" w:rsidRDefault="009477EC"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09758782"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b/>
                <w:bCs/>
                <w:sz w:val="20"/>
                <w:szCs w:val="20"/>
              </w:rPr>
              <w:t>SAC Meeting Highlights and Progress Report</w:t>
            </w:r>
          </w:p>
          <w:p w14:paraId="7CDC4C82"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sz w:val="20"/>
                <w:szCs w:val="20"/>
              </w:rPr>
              <w:t>Throughout the course of our regular School Advisory Council (SAC) meetings, we engaged in thoughtful and constructive discussions on a variety of topics directly impacting students and the broader school community. A primary focus of our conversations was the examination of school-wide data in alignment with our School Success Plan (SSP) goals. These discussions were pivotal in shaping our strategies for implementing targeted interventions aimed at fostering student achievement and success.</w:t>
            </w:r>
          </w:p>
          <w:p w14:paraId="2A6FFF9A"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sz w:val="20"/>
                <w:szCs w:val="20"/>
              </w:rPr>
              <w:t>We continually assessed how the data informed our actions and planning, ensuring that our interventions were tailored to meet the diverse needs of our students. Additionally, we explored innovative strategies for attracting new SAC members and developed a comprehensive action plan for the 2024-2025 school year to further enhance community participation and engagement.</w:t>
            </w:r>
          </w:p>
          <w:p w14:paraId="25AD91D6"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sz w:val="20"/>
                <w:szCs w:val="20"/>
              </w:rPr>
              <w:lastRenderedPageBreak/>
              <w:t>A key area of focus during our meetings was the allocation of SAC funds to support student achievement, particularly in literacy and mathematics, as well as student well-being. A significant portion of the resources allocated emphasized diversity and inclusion, ensuring that the materials and tools purchased were representative of the diverse student population we serve. The funds were strategically invested in areas such as math and literacy resources, flexible seating arrangements, and the acquisition of equipment, games, and activities designed for unstructured times, all of which contribute to enhancing student engagement and overall well-being.</w:t>
            </w: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7EF8FE09"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b/>
                <w:bCs/>
                <w:sz w:val="20"/>
                <w:szCs w:val="20"/>
              </w:rPr>
              <w:t>Significant Milestones and Success Stories</w:t>
            </w:r>
          </w:p>
          <w:p w14:paraId="313689D2" w14:textId="77777777" w:rsidR="00F82FDD" w:rsidRPr="0068153F" w:rsidRDefault="00F82FDD" w:rsidP="00F82FDD">
            <w:pPr>
              <w:spacing w:after="160" w:line="259" w:lineRule="auto"/>
              <w:rPr>
                <w:rFonts w:ascii="Arial" w:eastAsia="Times New Roman" w:hAnsi="Arial" w:cs="Arial"/>
                <w:sz w:val="20"/>
                <w:szCs w:val="20"/>
              </w:rPr>
            </w:pPr>
            <w:r w:rsidRPr="0068153F">
              <w:rPr>
                <w:rFonts w:ascii="Arial" w:eastAsia="Times New Roman" w:hAnsi="Arial" w:cs="Arial"/>
                <w:sz w:val="20"/>
                <w:szCs w:val="20"/>
              </w:rPr>
              <w:t xml:space="preserve">One of the most notable achievements to highlight is the substantial progress made in student achievement, particularly </w:t>
            </w:r>
            <w:proofErr w:type="gramStart"/>
            <w:r w:rsidRPr="0068153F">
              <w:rPr>
                <w:rFonts w:ascii="Arial" w:eastAsia="Times New Roman" w:hAnsi="Arial" w:cs="Arial"/>
                <w:sz w:val="20"/>
                <w:szCs w:val="20"/>
              </w:rPr>
              <w:t>in the area of</w:t>
            </w:r>
            <w:proofErr w:type="gramEnd"/>
            <w:r w:rsidRPr="0068153F">
              <w:rPr>
                <w:rFonts w:ascii="Arial" w:eastAsia="Times New Roman" w:hAnsi="Arial" w:cs="Arial"/>
                <w:sz w:val="20"/>
                <w:szCs w:val="20"/>
              </w:rPr>
              <w:t xml:space="preserve"> reading. The data reflects a marked improvement in reading proficiency, which serves as a testament to the effectiveness of our targeted interventions and the ongoing commitment of our school community. These improvements have not only contributed to a positive shift in school-based data but have also been instrumental in fostering a culture of academic growth and success.</w:t>
            </w:r>
          </w:p>
          <w:p w14:paraId="3AB0149A" w14:textId="1451FC28" w:rsidR="003828E0" w:rsidRDefault="00F82FDD" w:rsidP="00F82FDD">
            <w:pPr>
              <w:jc w:val="both"/>
              <w:rPr>
                <w:sz w:val="24"/>
                <w:szCs w:val="24"/>
              </w:rPr>
            </w:pPr>
            <w:r w:rsidRPr="0068153F">
              <w:rPr>
                <w:rFonts w:ascii="Arial" w:eastAsia="Times New Roman" w:hAnsi="Arial" w:cs="Arial"/>
                <w:sz w:val="20"/>
                <w:szCs w:val="20"/>
              </w:rPr>
              <w:t>As we move forward, we remain committed to building on these successes and continuously seeking ways to further support our students' academic and personal development</w:t>
            </w:r>
          </w:p>
          <w:p w14:paraId="1013316A" w14:textId="77777777" w:rsidR="009477EC" w:rsidRDefault="009477EC" w:rsidP="003828E0">
            <w:pPr>
              <w:jc w:val="both"/>
              <w:rPr>
                <w:sz w:val="24"/>
                <w:szCs w:val="24"/>
              </w:rPr>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219B4D0D" w:rsidR="003828E0" w:rsidRDefault="00F82FDD">
            <w:r>
              <w:t>N/A</w:t>
            </w:r>
          </w:p>
          <w:p w14:paraId="682F2EEB" w14:textId="77777777" w:rsidR="009477EC" w:rsidRDefault="009477EC"/>
          <w:p w14:paraId="7527DD50" w14:textId="77777777" w:rsidR="009477EC" w:rsidRDefault="009477EC"/>
          <w:p w14:paraId="15622E24" w14:textId="77777777" w:rsidR="003828E0" w:rsidRDefault="003828E0"/>
        </w:tc>
      </w:tr>
    </w:tbl>
    <w:p w14:paraId="3A0B9B58" w14:textId="77777777" w:rsidR="009477EC" w:rsidRDefault="009477EC"/>
    <w:p w14:paraId="6A534387" w14:textId="77777777" w:rsidR="009477EC" w:rsidRDefault="009477EC"/>
    <w:p w14:paraId="1752739A"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1BFCF737" w14:textId="77777777" w:rsidR="009477EC" w:rsidRDefault="009477EC" w:rsidP="009477EC">
            <w:pPr>
              <w:jc w:val="both"/>
              <w:rPr>
                <w:sz w:val="24"/>
                <w:szCs w:val="24"/>
              </w:rPr>
            </w:pP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lastRenderedPageBreak/>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77777777" w:rsidR="003828E0" w:rsidRDefault="003828E0" w:rsidP="009477EC">
            <w:pPr>
              <w:jc w:val="both"/>
              <w:rPr>
                <w:sz w:val="24"/>
                <w:szCs w:val="24"/>
              </w:rPr>
            </w:pP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77777777" w:rsidR="003828E0" w:rsidRDefault="003828E0">
            <w:pPr>
              <w:rPr>
                <w:sz w:val="24"/>
                <w:szCs w:val="24"/>
              </w:rPr>
            </w:pP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56A78" w14:textId="77777777" w:rsidR="000541A4" w:rsidRDefault="000541A4" w:rsidP="009477EC">
      <w:pPr>
        <w:spacing w:after="0" w:line="240" w:lineRule="auto"/>
      </w:pPr>
      <w:r>
        <w:separator/>
      </w:r>
    </w:p>
  </w:endnote>
  <w:endnote w:type="continuationSeparator" w:id="0">
    <w:p w14:paraId="4A990278" w14:textId="77777777" w:rsidR="000541A4" w:rsidRDefault="000541A4"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21E2" w14:textId="77777777" w:rsidR="000541A4" w:rsidRDefault="000541A4" w:rsidP="009477EC">
      <w:pPr>
        <w:spacing w:after="0" w:line="240" w:lineRule="auto"/>
      </w:pPr>
      <w:r>
        <w:separator/>
      </w:r>
    </w:p>
  </w:footnote>
  <w:footnote w:type="continuationSeparator" w:id="0">
    <w:p w14:paraId="6F641736" w14:textId="77777777" w:rsidR="000541A4" w:rsidRDefault="000541A4" w:rsidP="00947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541A4"/>
    <w:rsid w:val="0030505B"/>
    <w:rsid w:val="003828E0"/>
    <w:rsid w:val="005E4AC0"/>
    <w:rsid w:val="0062379C"/>
    <w:rsid w:val="00701F95"/>
    <w:rsid w:val="008151D9"/>
    <w:rsid w:val="009477EC"/>
    <w:rsid w:val="009B7F25"/>
    <w:rsid w:val="00A47558"/>
    <w:rsid w:val="00A55F92"/>
    <w:rsid w:val="00B816C6"/>
    <w:rsid w:val="00BD6B3F"/>
    <w:rsid w:val="00C02441"/>
    <w:rsid w:val="00CE62BE"/>
    <w:rsid w:val="00DC32E6"/>
    <w:rsid w:val="00E22A3B"/>
    <w:rsid w:val="00E67127"/>
    <w:rsid w:val="00EA10CB"/>
    <w:rsid w:val="00F82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ce.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Huczel, Cali</cp:lastModifiedBy>
  <cp:revision>3</cp:revision>
  <cp:lastPrinted>2019-05-31T17:21:00Z</cp:lastPrinted>
  <dcterms:created xsi:type="dcterms:W3CDTF">2025-06-17T11:01:00Z</dcterms:created>
  <dcterms:modified xsi:type="dcterms:W3CDTF">2025-06-17T11:04:00Z</dcterms:modified>
</cp:coreProperties>
</file>